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line="240" w:lineRule="auto"/>
        <w:jc w:val="center"/>
        <w:rPr>
          <w:rFonts w:ascii="Arial Narrow" w:cs="Arial Narrow" w:eastAsia="Arial Narrow" w:hAnsi="Arial Narrow"/>
          <w:b w:val="1"/>
          <w:color w:val="40404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404040"/>
          <w:sz w:val="28"/>
          <w:szCs w:val="28"/>
          <w:rtl w:val="0"/>
        </w:rPr>
        <w:t xml:space="preserve">CAF y OEI trabajarán en la promoción y articulación de ecosistemas de innovación en América Latina</w:t>
      </w:r>
    </w:p>
    <w:p w:rsidR="00000000" w:rsidDel="00000000" w:rsidP="00000000" w:rsidRDefault="00000000" w:rsidRPr="00000000" w14:paraId="00000002">
      <w:pPr>
        <w:shd w:fill="ffffff" w:val="clear"/>
        <w:spacing w:after="280" w:line="240" w:lineRule="auto"/>
        <w:jc w:val="both"/>
        <w:rPr>
          <w:rFonts w:ascii="Arial Narrow" w:cs="Arial Narrow" w:eastAsia="Arial Narrow" w:hAnsi="Arial Narrow"/>
          <w:i w:val="1"/>
          <w:color w:val="80808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808080"/>
          <w:sz w:val="24"/>
          <w:szCs w:val="24"/>
          <w:rtl w:val="0"/>
        </w:rPr>
        <w:t xml:space="preserve">Las partes firmaron un acuerdo de cooperación técnica no reembolsable para ofrecer acompañamiento a través de formación especializada y de apoyo que permita desarrollar experiencias de aprendizaje y generar un inventario de proyectos de innovación asociados a pymes de la región. El objetivo último es aumentar la productividad y competitividad de América Latina.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7f7f7f"/>
          <w:sz w:val="24"/>
          <w:szCs w:val="24"/>
          <w:rtl w:val="0"/>
        </w:rPr>
        <w:t xml:space="preserve">(Ciudad  de México, 18 de febrero de 2021)</w:t>
      </w: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.-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rtl w:val="0"/>
        </w:rPr>
        <w:t xml:space="preserve">CAF -banco de desarrollo de América Latina- y la Organización de Estados Iberoamericanos para la Educación, la Ciencia y la Cultura (OEI)</w:t>
      </w: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 firmaron este jueves un acuerdo de cooperación técnica no reembolsable con el propósito de apoyar el Proyecto de Promoción y Articulación de Ecosistemas de Innovación de América Latina, cuyo objeto es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rtl w:val="0"/>
        </w:rPr>
        <w:t xml:space="preserve">diseñar e impartir experiencias de aprendizaje multi-actor</w:t>
      </w: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 para la consolidación estratégica de ecosistemas de innovación en al menos seis países de la región.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b w:val="1"/>
          <w:color w:val="222222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Durante el acto de firma del convenio,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rtl w:val="0"/>
        </w:rPr>
        <w:t xml:space="preserve">el presidente ejecutivo de CAF, Luis Carranza Ugarte</w:t>
      </w: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, destacó: “La integración regional es uno de los pilares de la misión de CAF, por ello nos complace trabajar de la mano con la OEI en la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rtl w:val="0"/>
        </w:rPr>
        <w:t xml:space="preserve">promoción y articulación de ecosistemas de innovación para mejorar la productividad y competitividad, especialmente de las pymes de la región”.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b w:val="1"/>
          <w:color w:val="222222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Por su parte,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rtl w:val="0"/>
        </w:rPr>
        <w:t xml:space="preserve">el secretario general de la OEI, Mariano Jabonero Blanco,</w:t>
      </w: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 señaló que “la OEI tiene una histórica preocupación por la formación profesional de los jóvenes, a esto se agrega la creación del Instituto de Educación y Productividad con la misión de asumir uno de los mayores retos de nuestra región: aumentar la productividad mejorando la formación de los recursos humanos”. Asimismo, aseguró que “el convenio con CAF justamente pone el foco en ello, ya que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rtl w:val="0"/>
        </w:rPr>
        <w:t xml:space="preserve"> para la innovación también se necesitan competencias y formar en estas competencias significa para nosotros trabajar desde la educación para mejorar la competitividad de nuestras economías”.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Mediante cursos virtuales se promoverá la formación a los principales actores de cada uno de los entornos de los ecosistemas de innovación, las administraciones públicas responsables de Ciencia, Tecnología e Innovación, las empresas, los gremios empresariales y las entidades que generan y transfieren conocimiento para crear innovación (centros tecnológicos y universidades), con materiales multimedia que respondan a las competencias comunes entre ellos. Los cursos serán impartidos a través de la plataforma CANVAS de CAF. Entre los objetivos, también destaca la construcción de un inventario de proyectos de innovación asociados a pymes de la región, que serán desarrollados durante la participación en el programa de formación.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160" w:line="225.4909090909091" w:lineRule="auto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13 bancos privados, es una de las principales fuentes de financiamiento multilateral y un importante generador de conocimiento para la región. Más información en </w:t>
      </w:r>
      <w:hyperlink r:id="rId6">
        <w:r w:rsidDel="00000000" w:rsidR="00000000" w:rsidRPr="00000000">
          <w:rPr>
            <w:rFonts w:ascii="Arial Narrow" w:cs="Arial Narrow" w:eastAsia="Arial Narrow" w:hAnsi="Arial Narrow"/>
            <w:sz w:val="16"/>
            <w:szCs w:val="16"/>
            <w:rtl w:val="0"/>
          </w:rPr>
          <w:t xml:space="preserve">www.caf.com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160" w:line="225.4909090909091" w:lineRule="auto"/>
        <w:jc w:val="both"/>
        <w:rPr>
          <w:rFonts w:ascii="Arial Narrow" w:cs="Arial Narrow" w:eastAsia="Arial Narrow" w:hAnsi="Arial Narrow"/>
          <w:color w:val="1155cc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CAF, Dirección de Comunicación Estratégica, </w:t>
      </w:r>
      <w:r w:rsidDel="00000000" w:rsidR="00000000" w:rsidRPr="00000000">
        <w:rPr>
          <w:rFonts w:ascii="Arial Narrow" w:cs="Arial Narrow" w:eastAsia="Arial Narrow" w:hAnsi="Arial Narrow"/>
          <w:color w:val="1155cc"/>
          <w:sz w:val="16"/>
          <w:szCs w:val="16"/>
          <w:rtl w:val="0"/>
        </w:rPr>
        <w:t xml:space="preserve">prensa@caf.com</w:t>
      </w:r>
    </w:p>
    <w:p w:rsidR="00000000" w:rsidDel="00000000" w:rsidP="00000000" w:rsidRDefault="00000000" w:rsidRPr="00000000" w14:paraId="00000016">
      <w:pPr>
        <w:shd w:fill="ffffff" w:val="clear"/>
        <w:spacing w:after="160" w:line="225.4909090909091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Encuéntrenos en: Facebook: </w:t>
      </w:r>
      <w:hyperlink r:id="rId7">
        <w:r w:rsidDel="00000000" w:rsidR="00000000" w:rsidRPr="00000000">
          <w:rPr>
            <w:rFonts w:ascii="Arial Narrow" w:cs="Arial Narrow" w:eastAsia="Arial Narrow" w:hAnsi="Arial Narrow"/>
            <w:color w:val="1155cc"/>
            <w:sz w:val="16"/>
            <w:szCs w:val="16"/>
            <w:u w:val="single"/>
            <w:rtl w:val="0"/>
          </w:rPr>
          <w:t xml:space="preserve">CAF.America.Latina</w:t>
        </w:r>
      </w:hyperlink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/ Twitter: </w:t>
      </w:r>
      <w:hyperlink r:id="rId8">
        <w:r w:rsidDel="00000000" w:rsidR="00000000" w:rsidRPr="00000000">
          <w:rPr>
            <w:rFonts w:ascii="Arial Narrow" w:cs="Arial Narrow" w:eastAsia="Arial Narrow" w:hAnsi="Arial Narrow"/>
            <w:color w:val="1155cc"/>
            <w:sz w:val="16"/>
            <w:szCs w:val="16"/>
            <w:u w:val="single"/>
            <w:rtl w:val="0"/>
          </w:rPr>
          <w:t xml:space="preserve">@AgendaCAF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spacing w:line="240" w:lineRule="auto"/>
      <w:jc w:val="center"/>
      <w:rPr/>
    </w:pPr>
    <w:r w:rsidDel="00000000" w:rsidR="00000000" w:rsidRPr="00000000">
      <w:rPr>
        <w:color w:val="11204c"/>
        <w:sz w:val="20"/>
        <w:szCs w:val="20"/>
      </w:rPr>
      <w:drawing>
        <wp:inline distB="114300" distT="114300" distL="114300" distR="114300">
          <wp:extent cx="2438083" cy="7213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38083" cy="72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caf.com/" TargetMode="External"/><Relationship Id="rId7" Type="http://schemas.openxmlformats.org/officeDocument/2006/relationships/hyperlink" Target="https://www.facebook.com/CAF.America.Latina" TargetMode="External"/><Relationship Id="rId8" Type="http://schemas.openxmlformats.org/officeDocument/2006/relationships/hyperlink" Target="https://twitter.com/AgendaCA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